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14" w:rsidRDefault="00411814" w:rsidP="00E2014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EF7051" wp14:editId="12B49BA9">
            <wp:extent cx="5854700" cy="840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4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14" w:rsidRDefault="00411814" w:rsidP="00E2014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E20141" w:rsidRPr="002B4EE8" w:rsidRDefault="00E20141" w:rsidP="00E2014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B4EE8">
        <w:rPr>
          <w:rFonts w:ascii="Times New Roman" w:hAnsi="Times New Roman" w:cs="Times New Roman"/>
          <w:i w:val="0"/>
          <w:sz w:val="32"/>
          <w:szCs w:val="32"/>
        </w:rPr>
        <w:t>РЕКОМЕНДАЦИИ</w:t>
      </w:r>
    </w:p>
    <w:p w:rsidR="00E20141" w:rsidRPr="00AB5CF7" w:rsidRDefault="00883E55" w:rsidP="00E2014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 w:rsidR="00E201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0141" w:rsidRPr="00043F0D">
        <w:rPr>
          <w:rFonts w:ascii="Times New Roman" w:hAnsi="Times New Roman"/>
          <w:b/>
          <w:sz w:val="32"/>
          <w:szCs w:val="32"/>
        </w:rPr>
        <w:t>обеспечени</w:t>
      </w:r>
      <w:r>
        <w:rPr>
          <w:rFonts w:ascii="Times New Roman" w:hAnsi="Times New Roman"/>
          <w:b/>
          <w:sz w:val="32"/>
          <w:szCs w:val="32"/>
        </w:rPr>
        <w:t>ю</w:t>
      </w:r>
      <w:r w:rsidR="00E20141" w:rsidRPr="00043F0D">
        <w:rPr>
          <w:rFonts w:ascii="Times New Roman" w:hAnsi="Times New Roman"/>
          <w:b/>
          <w:sz w:val="32"/>
          <w:szCs w:val="32"/>
        </w:rPr>
        <w:t xml:space="preserve"> рыночного поведения и справедливой конкуренции при совершении операций на финансовых рынках, </w:t>
      </w:r>
      <w:r w:rsidR="001C67AE">
        <w:rPr>
          <w:rFonts w:ascii="Times New Roman" w:hAnsi="Times New Roman"/>
          <w:b/>
          <w:sz w:val="32"/>
          <w:szCs w:val="32"/>
        </w:rPr>
        <w:t xml:space="preserve">а также </w:t>
      </w:r>
      <w:r w:rsidR="00E20141" w:rsidRPr="00043F0D">
        <w:rPr>
          <w:rFonts w:ascii="Times New Roman" w:hAnsi="Times New Roman"/>
          <w:b/>
          <w:sz w:val="32"/>
          <w:szCs w:val="32"/>
        </w:rPr>
        <w:t>предотвращени</w:t>
      </w:r>
      <w:r w:rsidR="001C67AE">
        <w:rPr>
          <w:rFonts w:ascii="Times New Roman" w:hAnsi="Times New Roman"/>
          <w:b/>
          <w:sz w:val="32"/>
          <w:szCs w:val="32"/>
        </w:rPr>
        <w:t>ю</w:t>
      </w:r>
      <w:r w:rsidR="00E20141" w:rsidRPr="00043F0D">
        <w:rPr>
          <w:rFonts w:ascii="Times New Roman" w:hAnsi="Times New Roman"/>
          <w:b/>
          <w:sz w:val="32"/>
          <w:szCs w:val="32"/>
        </w:rPr>
        <w:t xml:space="preserve"> недобросовестных практик</w:t>
      </w:r>
    </w:p>
    <w:p w:rsidR="00E20141" w:rsidRDefault="00E20141" w:rsidP="00E20141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141" w:rsidRDefault="00E20141" w:rsidP="00E20141">
      <w:pPr>
        <w:spacing w:line="260" w:lineRule="exact"/>
        <w:jc w:val="center"/>
        <w:rPr>
          <w:b/>
          <w:sz w:val="26"/>
          <w:szCs w:val="26"/>
        </w:rPr>
      </w:pPr>
    </w:p>
    <w:p w:rsidR="00E20141" w:rsidRDefault="00E20141" w:rsidP="00E20141">
      <w:pPr>
        <w:pStyle w:val="ConsNormal"/>
        <w:widowControl/>
        <w:spacing w:after="240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предотвращения</w:t>
      </w:r>
      <w:r w:rsidRPr="00C15D8F">
        <w:rPr>
          <w:rFonts w:ascii="Times New Roman" w:hAnsi="Times New Roman" w:cs="Times New Roman"/>
          <w:sz w:val="24"/>
          <w:szCs w:val="24"/>
        </w:rPr>
        <w:t xml:space="preserve"> злоупотреблени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D8F">
        <w:rPr>
          <w:rFonts w:ascii="Times New Roman" w:hAnsi="Times New Roman" w:cs="Times New Roman"/>
          <w:sz w:val="24"/>
          <w:szCs w:val="24"/>
        </w:rPr>
        <w:t xml:space="preserve"> на организованных торгах в форме неправомерного использования инсайдерской информации и (или) манипулирования рынком с </w:t>
      </w:r>
      <w:r w:rsidR="009246E3">
        <w:rPr>
          <w:rFonts w:ascii="Times New Roman" w:hAnsi="Times New Roman" w:cs="Times New Roman"/>
          <w:sz w:val="24"/>
          <w:szCs w:val="24"/>
        </w:rPr>
        <w:t>финансовыми инструментами, иностранной валютой и (или) товар</w:t>
      </w:r>
      <w:r w:rsidR="00BF4DD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 а также для обеспечения инвестиционно</w:t>
      </w:r>
      <w:r w:rsidR="00BF4DD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DD2">
        <w:rPr>
          <w:rFonts w:ascii="Times New Roman" w:hAnsi="Times New Roman" w:cs="Times New Roman"/>
          <w:sz w:val="24"/>
          <w:szCs w:val="24"/>
        </w:rPr>
        <w:t xml:space="preserve">привлекательности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учитывая лучшие мировые практики, </w:t>
      </w:r>
      <w:r w:rsidR="00411814">
        <w:rPr>
          <w:rFonts w:ascii="Times New Roman" w:hAnsi="Times New Roman" w:cs="Times New Roman"/>
          <w:sz w:val="24"/>
          <w:szCs w:val="24"/>
        </w:rPr>
        <w:t xml:space="preserve">Национальный совет финансового рынка </w:t>
      </w:r>
      <w:r>
        <w:rPr>
          <w:rFonts w:ascii="Times New Roman" w:hAnsi="Times New Roman" w:cs="Times New Roman"/>
          <w:sz w:val="24"/>
          <w:szCs w:val="24"/>
        </w:rPr>
        <w:t>рекомендуе</w:t>
      </w:r>
      <w:r w:rsidR="004118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организациям, являющимся эмитентами </w:t>
      </w:r>
      <w:r w:rsidRPr="007A40B6">
        <w:rPr>
          <w:rFonts w:ascii="Times New Roman" w:hAnsi="Times New Roman" w:cs="Times New Roman"/>
          <w:sz w:val="24"/>
          <w:szCs w:val="24"/>
        </w:rPr>
        <w:t>эмиссионных 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1181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эмитент), профессиональным участникам рынка ценных бумаг</w:t>
      </w:r>
      <w:r w:rsidR="00883E55">
        <w:rPr>
          <w:rFonts w:ascii="Times New Roman" w:hAnsi="Times New Roman" w:cs="Times New Roman"/>
          <w:sz w:val="24"/>
          <w:szCs w:val="24"/>
        </w:rPr>
        <w:t xml:space="preserve"> и организациям, выступающим в </w:t>
      </w:r>
      <w:r w:rsidR="00BF4DD2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BF4DD2">
        <w:rPr>
          <w:rFonts w:ascii="Times New Roman" w:hAnsi="Times New Roman" w:cs="Times New Roman"/>
          <w:sz w:val="24"/>
          <w:szCs w:val="24"/>
        </w:rPr>
        <w:t xml:space="preserve"> </w:t>
      </w:r>
      <w:r w:rsidR="00883E55">
        <w:rPr>
          <w:rFonts w:ascii="Times New Roman" w:hAnsi="Times New Roman" w:cs="Times New Roman"/>
          <w:sz w:val="24"/>
          <w:szCs w:val="24"/>
        </w:rPr>
        <w:t xml:space="preserve">инсайдера (далее </w:t>
      </w:r>
      <w:r w:rsidR="00BF4DD2">
        <w:rPr>
          <w:rFonts w:ascii="Times New Roman" w:hAnsi="Times New Roman" w:cs="Times New Roman"/>
          <w:sz w:val="24"/>
          <w:szCs w:val="24"/>
        </w:rPr>
        <w:t xml:space="preserve">– </w:t>
      </w:r>
      <w:r w:rsidR="00883E55">
        <w:rPr>
          <w:rFonts w:ascii="Times New Roman" w:hAnsi="Times New Roman" w:cs="Times New Roman"/>
          <w:sz w:val="24"/>
          <w:szCs w:val="24"/>
        </w:rPr>
        <w:t>организация</w:t>
      </w:r>
      <w:r w:rsidR="00BF4DD2">
        <w:rPr>
          <w:rFonts w:ascii="Times New Roman" w:hAnsi="Times New Roman" w:cs="Times New Roman"/>
          <w:sz w:val="24"/>
          <w:szCs w:val="24"/>
        </w:rPr>
        <w:t xml:space="preserve"> –</w:t>
      </w:r>
      <w:r w:rsidR="00411814">
        <w:rPr>
          <w:rFonts w:ascii="Times New Roman" w:hAnsi="Times New Roman" w:cs="Times New Roman"/>
          <w:sz w:val="24"/>
          <w:szCs w:val="24"/>
        </w:rPr>
        <w:t xml:space="preserve"> </w:t>
      </w:r>
      <w:r w:rsidR="00883E55">
        <w:rPr>
          <w:rFonts w:ascii="Times New Roman" w:hAnsi="Times New Roman" w:cs="Times New Roman"/>
          <w:sz w:val="24"/>
          <w:szCs w:val="24"/>
        </w:rPr>
        <w:t>инсайдер) в смысле</w:t>
      </w:r>
      <w:r w:rsidR="009246E3">
        <w:rPr>
          <w:rFonts w:ascii="Times New Roman" w:hAnsi="Times New Roman" w:cs="Times New Roman"/>
          <w:sz w:val="24"/>
          <w:szCs w:val="24"/>
        </w:rPr>
        <w:t xml:space="preserve"> пунктов 1</w:t>
      </w:r>
      <w:r w:rsidR="00BF4DD2">
        <w:rPr>
          <w:rFonts w:ascii="Times New Roman" w:hAnsi="Times New Roman" w:cs="Times New Roman"/>
          <w:sz w:val="24"/>
          <w:szCs w:val="24"/>
        </w:rPr>
        <w:t xml:space="preserve"> – </w:t>
      </w:r>
      <w:r w:rsidR="009246E3">
        <w:rPr>
          <w:rFonts w:ascii="Times New Roman" w:hAnsi="Times New Roman" w:cs="Times New Roman"/>
          <w:sz w:val="24"/>
          <w:szCs w:val="24"/>
        </w:rPr>
        <w:t>4, 5, 8, 11 и 12 статьи 4</w:t>
      </w:r>
      <w:r w:rsidR="00883E55">
        <w:rPr>
          <w:rFonts w:ascii="Times New Roman" w:hAnsi="Times New Roman" w:cs="Times New Roman"/>
          <w:sz w:val="24"/>
          <w:szCs w:val="24"/>
        </w:rPr>
        <w:t xml:space="preserve"> </w:t>
      </w:r>
      <w:r w:rsidR="00883E55" w:rsidRPr="00BF4DD2">
        <w:rPr>
          <w:rFonts w:ascii="Times New Roman" w:hAnsi="Times New Roman" w:cs="Times New Roman"/>
          <w:sz w:val="24"/>
          <w:szCs w:val="24"/>
        </w:rPr>
        <w:t>Федерального закона от 27 июля 2010 года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осуществлять следующие мероприятия:</w:t>
      </w:r>
    </w:p>
    <w:p w:rsidR="00E20141" w:rsidRPr="0042246E" w:rsidRDefault="00E20141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период</w:t>
      </w:r>
      <w:r w:rsidR="00411814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продолжительностью в</w:t>
      </w:r>
      <w:r w:rsidRPr="00946A2D">
        <w:rPr>
          <w:sz w:val="24"/>
          <w:szCs w:val="24"/>
        </w:rPr>
        <w:t xml:space="preserve"> </w:t>
      </w:r>
      <w:r w:rsidRPr="00B14A4F">
        <w:rPr>
          <w:b/>
          <w:sz w:val="24"/>
          <w:szCs w:val="24"/>
          <w:u w:val="single"/>
        </w:rPr>
        <w:t xml:space="preserve">30 </w:t>
      </w:r>
      <w:r w:rsidR="00167A43">
        <w:rPr>
          <w:b/>
          <w:sz w:val="24"/>
          <w:szCs w:val="24"/>
          <w:u w:val="single"/>
        </w:rPr>
        <w:t>календарных</w:t>
      </w:r>
      <w:r w:rsidRPr="00B14A4F">
        <w:rPr>
          <w:b/>
          <w:sz w:val="24"/>
          <w:szCs w:val="24"/>
          <w:u w:val="single"/>
        </w:rPr>
        <w:t xml:space="preserve"> дней до</w:t>
      </w:r>
      <w:r>
        <w:rPr>
          <w:sz w:val="24"/>
          <w:szCs w:val="24"/>
        </w:rPr>
        <w:t xml:space="preserve"> опубликования квартальной и </w:t>
      </w:r>
      <w:r w:rsidRPr="00B25562">
        <w:rPr>
          <w:sz w:val="24"/>
          <w:szCs w:val="24"/>
        </w:rPr>
        <w:t>годовой финансовой отчетности</w:t>
      </w:r>
      <w:r>
        <w:rPr>
          <w:sz w:val="24"/>
          <w:szCs w:val="24"/>
        </w:rPr>
        <w:t xml:space="preserve"> организации эмитента</w:t>
      </w:r>
      <w:r w:rsidRPr="00B25562">
        <w:rPr>
          <w:sz w:val="24"/>
          <w:szCs w:val="24"/>
        </w:rPr>
        <w:t>, составленной в соответствии с Международными стандартами финансовой отчетности</w:t>
      </w:r>
      <w:r>
        <w:rPr>
          <w:sz w:val="24"/>
          <w:szCs w:val="24"/>
        </w:rPr>
        <w:t xml:space="preserve"> (МСФО)</w:t>
      </w:r>
      <w:r w:rsidR="00167A43">
        <w:rPr>
          <w:rStyle w:val="af6"/>
          <w:sz w:val="24"/>
          <w:szCs w:val="24"/>
        </w:rPr>
        <w:footnoteReference w:id="1"/>
      </w:r>
      <w:r w:rsidRPr="007E7732">
        <w:t xml:space="preserve"> </w:t>
      </w:r>
      <w:r w:rsidRPr="007E7732">
        <w:rPr>
          <w:sz w:val="24"/>
          <w:szCs w:val="24"/>
        </w:rPr>
        <w:t>(его дочерних и зависимых обществ)</w:t>
      </w:r>
      <w:r>
        <w:rPr>
          <w:sz w:val="24"/>
          <w:szCs w:val="24"/>
        </w:rPr>
        <w:t xml:space="preserve">, в </w:t>
      </w:r>
      <w:r w:rsidR="00BB1E75">
        <w:rPr>
          <w:sz w:val="24"/>
          <w:szCs w:val="24"/>
        </w:rPr>
        <w:t>течени</w:t>
      </w:r>
      <w:proofErr w:type="gramStart"/>
      <w:r w:rsidR="00BB1E75">
        <w:rPr>
          <w:sz w:val="24"/>
          <w:szCs w:val="24"/>
        </w:rPr>
        <w:t>и</w:t>
      </w:r>
      <w:proofErr w:type="gramEnd"/>
      <w:r w:rsidR="00BB1E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которого инсайдеры эмитента, </w:t>
      </w:r>
      <w:r w:rsidR="00883E55">
        <w:rPr>
          <w:sz w:val="24"/>
          <w:szCs w:val="24"/>
        </w:rPr>
        <w:t xml:space="preserve">физические </w:t>
      </w:r>
      <w:r>
        <w:rPr>
          <w:sz w:val="24"/>
          <w:szCs w:val="24"/>
        </w:rPr>
        <w:t xml:space="preserve">лица, входящие в состав органов управления эмитента, и иные лица, при наличие об этом решения данной организации, </w:t>
      </w:r>
      <w:r w:rsidRPr="00946A2D">
        <w:rPr>
          <w:sz w:val="24"/>
          <w:szCs w:val="24"/>
        </w:rPr>
        <w:t xml:space="preserve">не </w:t>
      </w:r>
      <w:r>
        <w:rPr>
          <w:sz w:val="24"/>
          <w:szCs w:val="24"/>
        </w:rPr>
        <w:t>вправе</w:t>
      </w:r>
      <w:r w:rsidRPr="00946A2D">
        <w:rPr>
          <w:sz w:val="24"/>
          <w:szCs w:val="24"/>
        </w:rPr>
        <w:t xml:space="preserve"> совершать </w:t>
      </w:r>
      <w:r>
        <w:rPr>
          <w:sz w:val="24"/>
          <w:szCs w:val="24"/>
        </w:rPr>
        <w:t>сделки с ценными бумагами организации</w:t>
      </w:r>
      <w:r w:rsidR="00883E55">
        <w:rPr>
          <w:sz w:val="24"/>
          <w:szCs w:val="24"/>
        </w:rPr>
        <w:t>-инсайдера</w:t>
      </w:r>
      <w:r>
        <w:rPr>
          <w:sz w:val="24"/>
          <w:szCs w:val="24"/>
        </w:rPr>
        <w:t>, её дочерних и зависимых обществ</w:t>
      </w:r>
      <w:r w:rsidRPr="007E7732">
        <w:rPr>
          <w:sz w:val="24"/>
          <w:szCs w:val="24"/>
        </w:rPr>
        <w:t xml:space="preserve"> (если такие общества являются эмитентами ценных </w:t>
      </w:r>
      <w:r w:rsidRPr="00BF4DD2">
        <w:rPr>
          <w:sz w:val="24"/>
          <w:szCs w:val="24"/>
        </w:rPr>
        <w:t>бумаг)</w:t>
      </w:r>
      <w:r w:rsidR="00BF4DD2" w:rsidRPr="00BF4DD2">
        <w:rPr>
          <w:sz w:val="24"/>
          <w:szCs w:val="24"/>
        </w:rPr>
        <w:t xml:space="preserve"> («закрытый период»)</w:t>
      </w:r>
      <w:r w:rsidR="0042246E">
        <w:rPr>
          <w:rStyle w:val="af6"/>
          <w:sz w:val="24"/>
          <w:szCs w:val="24"/>
        </w:rPr>
        <w:footnoteReference w:id="2"/>
      </w:r>
      <w:r w:rsidRPr="0042246E">
        <w:rPr>
          <w:sz w:val="24"/>
          <w:szCs w:val="24"/>
        </w:rPr>
        <w:t>.</w:t>
      </w:r>
    </w:p>
    <w:p w:rsidR="004168D6" w:rsidRDefault="004168D6" w:rsidP="00E20141">
      <w:pPr>
        <w:widowControl/>
        <w:spacing w:after="240"/>
        <w:ind w:firstLine="720"/>
        <w:jc w:val="both"/>
        <w:rPr>
          <w:sz w:val="24"/>
          <w:szCs w:val="24"/>
        </w:rPr>
      </w:pPr>
      <w:r w:rsidRPr="00184FE6">
        <w:rPr>
          <w:sz w:val="24"/>
          <w:szCs w:val="24"/>
        </w:rPr>
        <w:t xml:space="preserve">2. Установить период продолжительностью </w:t>
      </w:r>
      <w:r w:rsidRPr="00BF4DD2">
        <w:rPr>
          <w:b/>
          <w:sz w:val="24"/>
          <w:szCs w:val="24"/>
          <w:u w:val="single"/>
        </w:rPr>
        <w:t xml:space="preserve">30 календарных дней </w:t>
      </w:r>
      <w:proofErr w:type="gramStart"/>
      <w:r w:rsidRPr="00BF4DD2">
        <w:rPr>
          <w:b/>
          <w:sz w:val="24"/>
          <w:szCs w:val="24"/>
          <w:u w:val="single"/>
        </w:rPr>
        <w:t>с</w:t>
      </w:r>
      <w:r w:rsidRPr="00184FE6">
        <w:rPr>
          <w:sz w:val="24"/>
          <w:szCs w:val="24"/>
        </w:rPr>
        <w:t xml:space="preserve"> даты совершения</w:t>
      </w:r>
      <w:proofErr w:type="gramEnd"/>
      <w:r w:rsidRPr="00184FE6">
        <w:rPr>
          <w:sz w:val="24"/>
          <w:szCs w:val="24"/>
        </w:rPr>
        <w:t xml:space="preserve"> сделки</w:t>
      </w:r>
      <w:r w:rsidR="00883E55">
        <w:rPr>
          <w:sz w:val="24"/>
          <w:szCs w:val="24"/>
        </w:rPr>
        <w:t xml:space="preserve"> с </w:t>
      </w:r>
      <w:r w:rsidR="009246E3">
        <w:rPr>
          <w:sz w:val="24"/>
          <w:szCs w:val="24"/>
        </w:rPr>
        <w:t>финансовым инструментом</w:t>
      </w:r>
      <w:r w:rsidR="00797603">
        <w:rPr>
          <w:sz w:val="24"/>
          <w:szCs w:val="24"/>
        </w:rPr>
        <w:t xml:space="preserve"> в собственных интересах</w:t>
      </w:r>
      <w:r w:rsidRPr="00184FE6">
        <w:rPr>
          <w:sz w:val="24"/>
          <w:szCs w:val="24"/>
        </w:rPr>
        <w:t xml:space="preserve">, в течение которого позиция инсайдера эмитента, </w:t>
      </w:r>
      <w:r w:rsidR="00883E55">
        <w:rPr>
          <w:sz w:val="24"/>
          <w:szCs w:val="24"/>
        </w:rPr>
        <w:t xml:space="preserve">физического </w:t>
      </w:r>
      <w:r w:rsidRPr="00184FE6">
        <w:rPr>
          <w:sz w:val="24"/>
          <w:szCs w:val="24"/>
        </w:rPr>
        <w:t>лиц</w:t>
      </w:r>
      <w:r w:rsidR="00883E55">
        <w:rPr>
          <w:sz w:val="24"/>
          <w:szCs w:val="24"/>
        </w:rPr>
        <w:t>а</w:t>
      </w:r>
      <w:r w:rsidRPr="00184FE6">
        <w:rPr>
          <w:sz w:val="24"/>
          <w:szCs w:val="24"/>
        </w:rPr>
        <w:t>, входящ</w:t>
      </w:r>
      <w:r w:rsidR="009246E3">
        <w:rPr>
          <w:sz w:val="24"/>
          <w:szCs w:val="24"/>
        </w:rPr>
        <w:t>его</w:t>
      </w:r>
      <w:r w:rsidRPr="00184FE6">
        <w:rPr>
          <w:sz w:val="24"/>
          <w:szCs w:val="24"/>
        </w:rPr>
        <w:t xml:space="preserve"> в состав органов управления эмитента, и иных лиц, при наличи</w:t>
      </w:r>
      <w:r w:rsidR="009C20F5">
        <w:rPr>
          <w:sz w:val="24"/>
          <w:szCs w:val="24"/>
        </w:rPr>
        <w:t>и</w:t>
      </w:r>
      <w:r w:rsidRPr="00184FE6">
        <w:rPr>
          <w:sz w:val="24"/>
          <w:szCs w:val="24"/>
        </w:rPr>
        <w:t xml:space="preserve"> об этом решения эмитента, в финансовый инструмент </w:t>
      </w:r>
      <w:r w:rsidR="00D61E56">
        <w:rPr>
          <w:sz w:val="24"/>
          <w:szCs w:val="24"/>
        </w:rPr>
        <w:t xml:space="preserve">должна </w:t>
      </w:r>
      <w:r w:rsidRPr="00BB1E75">
        <w:rPr>
          <w:sz w:val="24"/>
          <w:szCs w:val="24"/>
        </w:rPr>
        <w:t>сохранят</w:t>
      </w:r>
      <w:r w:rsidR="00D61E56">
        <w:rPr>
          <w:sz w:val="24"/>
          <w:szCs w:val="24"/>
        </w:rPr>
        <w:t>ь</w:t>
      </w:r>
      <w:r w:rsidRPr="00BB1E75">
        <w:rPr>
          <w:sz w:val="24"/>
          <w:szCs w:val="24"/>
        </w:rPr>
        <w:t>ся неизменной.</w:t>
      </w:r>
    </w:p>
    <w:p w:rsidR="001D2488" w:rsidRPr="00BB1E75" w:rsidRDefault="00BB1E75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период с момента принятия решения о заключении сделки</w:t>
      </w:r>
      <w:r w:rsidR="00797603">
        <w:rPr>
          <w:sz w:val="24"/>
          <w:szCs w:val="24"/>
        </w:rPr>
        <w:t xml:space="preserve"> по слиянию (</w:t>
      </w:r>
      <w:r w:rsidR="00411814">
        <w:rPr>
          <w:sz w:val="24"/>
          <w:szCs w:val="24"/>
        </w:rPr>
        <w:t>поглощению</w:t>
      </w:r>
      <w:r w:rsidR="00797603">
        <w:rPr>
          <w:sz w:val="24"/>
          <w:szCs w:val="24"/>
        </w:rPr>
        <w:t xml:space="preserve">) </w:t>
      </w:r>
      <w:r w:rsidR="00D61E56">
        <w:rPr>
          <w:sz w:val="24"/>
          <w:szCs w:val="24"/>
        </w:rPr>
        <w:t xml:space="preserve">до момента опубликования информации о ее заключении, </w:t>
      </w:r>
      <w:r w:rsidR="00797603">
        <w:rPr>
          <w:sz w:val="24"/>
          <w:szCs w:val="24"/>
        </w:rPr>
        <w:t>в течение которого</w:t>
      </w:r>
      <w:r w:rsidR="00797603" w:rsidRPr="00797603">
        <w:rPr>
          <w:sz w:val="24"/>
          <w:szCs w:val="24"/>
        </w:rPr>
        <w:t xml:space="preserve"> </w:t>
      </w:r>
      <w:r w:rsidR="00797603">
        <w:rPr>
          <w:sz w:val="24"/>
          <w:szCs w:val="24"/>
        </w:rPr>
        <w:t xml:space="preserve">инсайдеры </w:t>
      </w:r>
      <w:r w:rsidR="00883E55">
        <w:rPr>
          <w:sz w:val="24"/>
          <w:szCs w:val="24"/>
        </w:rPr>
        <w:t>–</w:t>
      </w:r>
      <w:r w:rsidR="00797603">
        <w:rPr>
          <w:sz w:val="24"/>
          <w:szCs w:val="24"/>
        </w:rPr>
        <w:t xml:space="preserve"> </w:t>
      </w:r>
      <w:r w:rsidR="00883E55">
        <w:rPr>
          <w:sz w:val="24"/>
          <w:szCs w:val="24"/>
        </w:rPr>
        <w:t xml:space="preserve">физические </w:t>
      </w:r>
      <w:r w:rsidR="00797603">
        <w:rPr>
          <w:sz w:val="24"/>
          <w:szCs w:val="24"/>
        </w:rPr>
        <w:t xml:space="preserve">лица, входящие в состав органов управления </w:t>
      </w:r>
      <w:r w:rsidR="009246E3">
        <w:rPr>
          <w:sz w:val="24"/>
          <w:szCs w:val="24"/>
        </w:rPr>
        <w:lastRenderedPageBreak/>
        <w:t>организации</w:t>
      </w:r>
      <w:r w:rsidR="00D61E56">
        <w:rPr>
          <w:sz w:val="24"/>
          <w:szCs w:val="24"/>
        </w:rPr>
        <w:t xml:space="preserve"> – </w:t>
      </w:r>
      <w:r w:rsidR="009246E3">
        <w:rPr>
          <w:sz w:val="24"/>
          <w:szCs w:val="24"/>
        </w:rPr>
        <w:t>инсайдера</w:t>
      </w:r>
      <w:r w:rsidR="00797603">
        <w:rPr>
          <w:sz w:val="24"/>
          <w:szCs w:val="24"/>
        </w:rPr>
        <w:t xml:space="preserve">, и иные лица (при наличие об этом решения </w:t>
      </w:r>
      <w:r w:rsidR="009246E3">
        <w:rPr>
          <w:sz w:val="24"/>
          <w:szCs w:val="24"/>
        </w:rPr>
        <w:t>организации</w:t>
      </w:r>
      <w:r w:rsidR="00D61E56">
        <w:rPr>
          <w:sz w:val="24"/>
          <w:szCs w:val="24"/>
        </w:rPr>
        <w:t xml:space="preserve"> </w:t>
      </w:r>
      <w:proofErr w:type="gramStart"/>
      <w:r w:rsidR="00D61E56">
        <w:rPr>
          <w:sz w:val="24"/>
          <w:szCs w:val="24"/>
        </w:rPr>
        <w:t>–</w:t>
      </w:r>
      <w:r w:rsidR="009246E3">
        <w:rPr>
          <w:sz w:val="24"/>
          <w:szCs w:val="24"/>
        </w:rPr>
        <w:t>и</w:t>
      </w:r>
      <w:proofErr w:type="gramEnd"/>
      <w:r w:rsidR="009246E3">
        <w:rPr>
          <w:sz w:val="24"/>
          <w:szCs w:val="24"/>
        </w:rPr>
        <w:t>нсайдера</w:t>
      </w:r>
      <w:r w:rsidR="00797603">
        <w:rPr>
          <w:sz w:val="24"/>
          <w:szCs w:val="24"/>
        </w:rPr>
        <w:t>) не вправе</w:t>
      </w:r>
      <w:r>
        <w:rPr>
          <w:sz w:val="24"/>
          <w:szCs w:val="24"/>
        </w:rPr>
        <w:t xml:space="preserve"> заключ</w:t>
      </w:r>
      <w:r w:rsidR="00797603">
        <w:rPr>
          <w:sz w:val="24"/>
          <w:szCs w:val="24"/>
        </w:rPr>
        <w:t>ать</w:t>
      </w:r>
      <w:r>
        <w:rPr>
          <w:sz w:val="24"/>
          <w:szCs w:val="24"/>
        </w:rPr>
        <w:t xml:space="preserve"> сделк</w:t>
      </w:r>
      <w:r w:rsidR="00797603">
        <w:rPr>
          <w:sz w:val="24"/>
          <w:szCs w:val="24"/>
        </w:rPr>
        <w:t>и</w:t>
      </w:r>
      <w:r>
        <w:rPr>
          <w:sz w:val="24"/>
          <w:szCs w:val="24"/>
        </w:rPr>
        <w:t xml:space="preserve"> с ценными бумагами</w:t>
      </w:r>
      <w:r w:rsidR="008F1BDA">
        <w:rPr>
          <w:sz w:val="24"/>
          <w:szCs w:val="24"/>
        </w:rPr>
        <w:t>, эмитируемыми</w:t>
      </w:r>
      <w:r>
        <w:rPr>
          <w:sz w:val="24"/>
          <w:szCs w:val="24"/>
        </w:rPr>
        <w:t xml:space="preserve"> организаци</w:t>
      </w:r>
      <w:r w:rsidR="008F1BDA">
        <w:rPr>
          <w:sz w:val="24"/>
          <w:szCs w:val="24"/>
        </w:rPr>
        <w:t>ями, участвующими</w:t>
      </w:r>
      <w:r>
        <w:rPr>
          <w:sz w:val="24"/>
          <w:szCs w:val="24"/>
        </w:rPr>
        <w:t xml:space="preserve"> в сделке по слиянию (поглощению), их</w:t>
      </w:r>
      <w:r w:rsidR="008F1BDA">
        <w:rPr>
          <w:sz w:val="24"/>
          <w:szCs w:val="24"/>
        </w:rPr>
        <w:t xml:space="preserve"> дочерними и зависимыми</w:t>
      </w:r>
      <w:r>
        <w:rPr>
          <w:sz w:val="24"/>
          <w:szCs w:val="24"/>
        </w:rPr>
        <w:t xml:space="preserve"> обществ</w:t>
      </w:r>
      <w:r w:rsidR="008F1BDA">
        <w:rPr>
          <w:sz w:val="24"/>
          <w:szCs w:val="24"/>
        </w:rPr>
        <w:t>ами</w:t>
      </w:r>
      <w:r>
        <w:rPr>
          <w:sz w:val="24"/>
          <w:szCs w:val="24"/>
        </w:rPr>
        <w:t>.</w:t>
      </w:r>
    </w:p>
    <w:p w:rsidR="00E20141" w:rsidRDefault="00797603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0141">
        <w:rPr>
          <w:sz w:val="24"/>
          <w:szCs w:val="24"/>
        </w:rPr>
        <w:t>. Предусмотреть во внутренних документах организации</w:t>
      </w:r>
      <w:r w:rsidR="00D61E56">
        <w:rPr>
          <w:sz w:val="24"/>
          <w:szCs w:val="24"/>
        </w:rPr>
        <w:t xml:space="preserve"> </w:t>
      </w:r>
      <w:proofErr w:type="gramStart"/>
      <w:r w:rsidR="00D61E56">
        <w:rPr>
          <w:sz w:val="24"/>
          <w:szCs w:val="24"/>
        </w:rPr>
        <w:t>–</w:t>
      </w:r>
      <w:r w:rsidR="008F1BDA">
        <w:rPr>
          <w:sz w:val="24"/>
          <w:szCs w:val="24"/>
        </w:rPr>
        <w:t>и</w:t>
      </w:r>
      <w:proofErr w:type="gramEnd"/>
      <w:r w:rsidR="008F1BDA">
        <w:rPr>
          <w:sz w:val="24"/>
          <w:szCs w:val="24"/>
        </w:rPr>
        <w:t>нсайдера</w:t>
      </w:r>
      <w:r w:rsidR="00E20141">
        <w:rPr>
          <w:sz w:val="24"/>
          <w:szCs w:val="24"/>
        </w:rPr>
        <w:t xml:space="preserve"> порядок, согласно которому в помещениях, в которых проводятся заседания органов управления такой организации, устанавливаются о</w:t>
      </w:r>
      <w:r w:rsidR="00E20141" w:rsidRPr="007E7732">
        <w:rPr>
          <w:sz w:val="24"/>
          <w:szCs w:val="24"/>
        </w:rPr>
        <w:t>гранич</w:t>
      </w:r>
      <w:r w:rsidR="00E20141">
        <w:rPr>
          <w:sz w:val="24"/>
          <w:szCs w:val="24"/>
        </w:rPr>
        <w:t>ения</w:t>
      </w:r>
      <w:r w:rsidR="00E20141" w:rsidRPr="007E7732">
        <w:rPr>
          <w:sz w:val="24"/>
          <w:szCs w:val="24"/>
        </w:rPr>
        <w:t xml:space="preserve"> </w:t>
      </w:r>
      <w:r w:rsidR="00E20141">
        <w:rPr>
          <w:sz w:val="24"/>
          <w:szCs w:val="24"/>
        </w:rPr>
        <w:t xml:space="preserve">на </w:t>
      </w:r>
      <w:r w:rsidR="00E20141" w:rsidRPr="007E7732">
        <w:rPr>
          <w:sz w:val="24"/>
          <w:szCs w:val="24"/>
        </w:rPr>
        <w:t>возможност</w:t>
      </w:r>
      <w:r w:rsidR="00E20141">
        <w:rPr>
          <w:sz w:val="24"/>
          <w:szCs w:val="24"/>
        </w:rPr>
        <w:t>ь</w:t>
      </w:r>
      <w:r w:rsidR="00E20141" w:rsidRPr="007E7732">
        <w:rPr>
          <w:sz w:val="24"/>
          <w:szCs w:val="24"/>
        </w:rPr>
        <w:t xml:space="preserve"> использования мобильной связи</w:t>
      </w:r>
      <w:r w:rsidR="00D61E56">
        <w:rPr>
          <w:sz w:val="24"/>
          <w:szCs w:val="24"/>
        </w:rPr>
        <w:t xml:space="preserve"> и</w:t>
      </w:r>
      <w:r w:rsidR="00E20141" w:rsidRPr="007E7732">
        <w:rPr>
          <w:sz w:val="24"/>
          <w:szCs w:val="24"/>
        </w:rPr>
        <w:t xml:space="preserve"> беспроводного входа </w:t>
      </w:r>
      <w:r w:rsidR="00E20141">
        <w:rPr>
          <w:sz w:val="24"/>
          <w:szCs w:val="24"/>
        </w:rPr>
        <w:t xml:space="preserve">в </w:t>
      </w:r>
      <w:r w:rsidR="00D61E56">
        <w:rPr>
          <w:sz w:val="24"/>
          <w:szCs w:val="24"/>
        </w:rPr>
        <w:t>И</w:t>
      </w:r>
      <w:r w:rsidR="00E20141">
        <w:rPr>
          <w:sz w:val="24"/>
          <w:szCs w:val="24"/>
        </w:rPr>
        <w:t xml:space="preserve">нтернет в случае, если в ходе заседания рассматривается информация, которая может быть использована в целях </w:t>
      </w:r>
      <w:r w:rsidR="00E20141" w:rsidRPr="00BE120E">
        <w:rPr>
          <w:sz w:val="24"/>
          <w:szCs w:val="24"/>
        </w:rPr>
        <w:t>злоупотреблений на организованных торгах в форме неправомерного использования инсайдерской информации и (или) манипулирования рынком</w:t>
      </w:r>
      <w:r w:rsidR="00E20141">
        <w:rPr>
          <w:sz w:val="24"/>
          <w:szCs w:val="24"/>
        </w:rPr>
        <w:t xml:space="preserve"> ценных бумаг.</w:t>
      </w:r>
    </w:p>
    <w:p w:rsidR="00E20141" w:rsidRDefault="00797603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20141">
        <w:rPr>
          <w:sz w:val="24"/>
          <w:szCs w:val="24"/>
        </w:rPr>
        <w:t>. Рекомендовать сотрудникам</w:t>
      </w:r>
      <w:r w:rsidR="00673B49" w:rsidRPr="00D61E56">
        <w:rPr>
          <w:sz w:val="24"/>
          <w:szCs w:val="24"/>
        </w:rPr>
        <w:t xml:space="preserve"> </w:t>
      </w:r>
      <w:r w:rsidR="00673B49">
        <w:rPr>
          <w:sz w:val="24"/>
          <w:szCs w:val="24"/>
        </w:rPr>
        <w:t>организации</w:t>
      </w:r>
      <w:r w:rsidR="00D61E56">
        <w:rPr>
          <w:sz w:val="24"/>
          <w:szCs w:val="24"/>
        </w:rPr>
        <w:t xml:space="preserve"> –</w:t>
      </w:r>
      <w:r w:rsidR="001D2488">
        <w:rPr>
          <w:sz w:val="24"/>
          <w:szCs w:val="24"/>
        </w:rPr>
        <w:t xml:space="preserve"> </w:t>
      </w:r>
      <w:r w:rsidR="00673B49">
        <w:rPr>
          <w:sz w:val="24"/>
          <w:szCs w:val="24"/>
        </w:rPr>
        <w:t>инсайдера</w:t>
      </w:r>
      <w:r w:rsidR="00E20141">
        <w:rPr>
          <w:sz w:val="24"/>
          <w:szCs w:val="24"/>
        </w:rPr>
        <w:t>, работающи</w:t>
      </w:r>
      <w:r>
        <w:rPr>
          <w:sz w:val="24"/>
          <w:szCs w:val="24"/>
        </w:rPr>
        <w:t>м</w:t>
      </w:r>
      <w:r w:rsidR="00E20141">
        <w:rPr>
          <w:sz w:val="24"/>
          <w:szCs w:val="24"/>
        </w:rPr>
        <w:t xml:space="preserve"> в подразделениях, осуществляющих сделки с </w:t>
      </w:r>
      <w:r w:rsidR="008F1BDA">
        <w:rPr>
          <w:sz w:val="24"/>
          <w:szCs w:val="24"/>
        </w:rPr>
        <w:t>финансовыми инструментами, иностранной валютой и (или) товарами от имени организации</w:t>
      </w:r>
      <w:r w:rsidR="00D61E56">
        <w:rPr>
          <w:sz w:val="24"/>
          <w:szCs w:val="24"/>
        </w:rPr>
        <w:t xml:space="preserve"> –</w:t>
      </w:r>
      <w:r w:rsidR="001D2488">
        <w:rPr>
          <w:sz w:val="24"/>
          <w:szCs w:val="24"/>
        </w:rPr>
        <w:t xml:space="preserve"> </w:t>
      </w:r>
      <w:r w:rsidR="008F1BDA">
        <w:rPr>
          <w:sz w:val="24"/>
          <w:szCs w:val="24"/>
        </w:rPr>
        <w:t>инсайдера или ее клиентов</w:t>
      </w:r>
      <w:r w:rsidR="00E20141">
        <w:rPr>
          <w:sz w:val="24"/>
          <w:szCs w:val="24"/>
        </w:rPr>
        <w:t xml:space="preserve">, не использовать </w:t>
      </w:r>
      <w:r w:rsidR="004A3833">
        <w:rPr>
          <w:sz w:val="24"/>
          <w:szCs w:val="24"/>
        </w:rPr>
        <w:t xml:space="preserve">при заключении </w:t>
      </w:r>
      <w:r w:rsidR="00E20141">
        <w:rPr>
          <w:sz w:val="24"/>
          <w:szCs w:val="24"/>
        </w:rPr>
        <w:t xml:space="preserve">мобильные телефоны, а также </w:t>
      </w:r>
      <w:r w:rsidR="004A3833">
        <w:rPr>
          <w:sz w:val="24"/>
          <w:szCs w:val="24"/>
        </w:rPr>
        <w:t xml:space="preserve">не использовать </w:t>
      </w:r>
      <w:r w:rsidR="00E20141">
        <w:rPr>
          <w:sz w:val="24"/>
          <w:szCs w:val="24"/>
        </w:rPr>
        <w:t>программное обеспечение, позволяющ</w:t>
      </w:r>
      <w:r w:rsidR="004A3833">
        <w:rPr>
          <w:sz w:val="24"/>
          <w:szCs w:val="24"/>
        </w:rPr>
        <w:t>и</w:t>
      </w:r>
      <w:r w:rsidR="00E20141">
        <w:rPr>
          <w:sz w:val="24"/>
          <w:szCs w:val="24"/>
        </w:rPr>
        <w:t>е совершать собственные сделки с финансовыми инструментами</w:t>
      </w:r>
      <w:r w:rsidR="00673B49">
        <w:rPr>
          <w:sz w:val="24"/>
          <w:szCs w:val="24"/>
        </w:rPr>
        <w:t>, иностранной валютой и (или) товарами</w:t>
      </w:r>
      <w:r w:rsidR="00E20141">
        <w:rPr>
          <w:sz w:val="24"/>
          <w:szCs w:val="24"/>
        </w:rPr>
        <w:t>.</w:t>
      </w:r>
    </w:p>
    <w:p w:rsidR="00E20141" w:rsidRDefault="00797603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20141">
        <w:rPr>
          <w:sz w:val="24"/>
          <w:szCs w:val="24"/>
        </w:rPr>
        <w:t>. Включить в гражданско-правовые и трудовые договоры с лицами, указанными в пункте 7 статьи 4 Федерального</w:t>
      </w:r>
      <w:r w:rsidR="00E20141" w:rsidRPr="00DA14A3">
        <w:rPr>
          <w:sz w:val="24"/>
          <w:szCs w:val="24"/>
        </w:rPr>
        <w:t xml:space="preserve"> закон</w:t>
      </w:r>
      <w:r w:rsidR="00E20141">
        <w:rPr>
          <w:sz w:val="24"/>
          <w:szCs w:val="24"/>
        </w:rPr>
        <w:t>а</w:t>
      </w:r>
      <w:r w:rsidR="00E20141" w:rsidRPr="00DA14A3">
        <w:rPr>
          <w:sz w:val="24"/>
          <w:szCs w:val="24"/>
        </w:rPr>
        <w:t xml:space="preserve"> от 27</w:t>
      </w:r>
      <w:r w:rsidR="00E20141">
        <w:rPr>
          <w:sz w:val="24"/>
          <w:szCs w:val="24"/>
        </w:rPr>
        <w:t xml:space="preserve"> июля </w:t>
      </w:r>
      <w:r w:rsidR="00E20141" w:rsidRPr="00DA14A3">
        <w:rPr>
          <w:sz w:val="24"/>
          <w:szCs w:val="24"/>
        </w:rPr>
        <w:t>2010</w:t>
      </w:r>
      <w:r w:rsidR="00E20141">
        <w:rPr>
          <w:sz w:val="24"/>
          <w:szCs w:val="24"/>
        </w:rPr>
        <w:t xml:space="preserve"> года №</w:t>
      </w:r>
      <w:r w:rsidR="00E20141" w:rsidRPr="00DA14A3">
        <w:rPr>
          <w:sz w:val="24"/>
          <w:szCs w:val="24"/>
        </w:rPr>
        <w:t xml:space="preserve"> 224-ФЗ</w:t>
      </w:r>
      <w:r w:rsidR="00E20141">
        <w:rPr>
          <w:sz w:val="24"/>
          <w:szCs w:val="24"/>
        </w:rPr>
        <w:t xml:space="preserve"> «</w:t>
      </w:r>
      <w:r w:rsidR="00E20141" w:rsidRPr="00DA14A3">
        <w:rPr>
          <w:sz w:val="24"/>
          <w:szCs w:val="24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</w:t>
      </w:r>
      <w:r w:rsidR="00E20141">
        <w:rPr>
          <w:sz w:val="24"/>
          <w:szCs w:val="24"/>
        </w:rPr>
        <w:t xml:space="preserve">льные акты Российской Федерации», положения, предусматривающие обязанность по передаче </w:t>
      </w:r>
      <w:r w:rsidR="001D2488">
        <w:rPr>
          <w:sz w:val="24"/>
          <w:szCs w:val="24"/>
        </w:rPr>
        <w:t xml:space="preserve">ими </w:t>
      </w:r>
      <w:r w:rsidR="00E20141">
        <w:rPr>
          <w:sz w:val="24"/>
          <w:szCs w:val="24"/>
        </w:rPr>
        <w:t xml:space="preserve">в доверительное управление </w:t>
      </w:r>
      <w:r w:rsidR="001D2488">
        <w:rPr>
          <w:sz w:val="24"/>
          <w:szCs w:val="24"/>
        </w:rPr>
        <w:t xml:space="preserve">принадлежащих им </w:t>
      </w:r>
      <w:r w:rsidR="00E20141">
        <w:rPr>
          <w:sz w:val="24"/>
          <w:szCs w:val="24"/>
        </w:rPr>
        <w:t>ценных бумаг</w:t>
      </w:r>
      <w:proofErr w:type="gramStart"/>
      <w:r w:rsidR="00E20141">
        <w:rPr>
          <w:sz w:val="24"/>
          <w:szCs w:val="24"/>
        </w:rPr>
        <w:t xml:space="preserve"> .</w:t>
      </w:r>
      <w:proofErr w:type="gramEnd"/>
    </w:p>
    <w:p w:rsidR="00E20141" w:rsidRDefault="00797603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20141">
        <w:rPr>
          <w:sz w:val="24"/>
          <w:szCs w:val="24"/>
        </w:rPr>
        <w:t>. С лицами, участвующими в деятельности органов управления организации</w:t>
      </w:r>
      <w:r w:rsidR="001D2488">
        <w:rPr>
          <w:sz w:val="24"/>
          <w:szCs w:val="24"/>
        </w:rPr>
        <w:t xml:space="preserve"> </w:t>
      </w:r>
      <w:proofErr w:type="gramStart"/>
      <w:r w:rsidR="001D2488">
        <w:rPr>
          <w:sz w:val="24"/>
          <w:szCs w:val="24"/>
        </w:rPr>
        <w:t>–</w:t>
      </w:r>
      <w:r w:rsidR="008A48E9">
        <w:rPr>
          <w:sz w:val="24"/>
          <w:szCs w:val="24"/>
        </w:rPr>
        <w:t>и</w:t>
      </w:r>
      <w:proofErr w:type="gramEnd"/>
      <w:r w:rsidR="008A48E9">
        <w:rPr>
          <w:sz w:val="24"/>
          <w:szCs w:val="24"/>
        </w:rPr>
        <w:t>нсайдера</w:t>
      </w:r>
      <w:r w:rsidR="00E20141">
        <w:rPr>
          <w:sz w:val="24"/>
          <w:szCs w:val="24"/>
        </w:rPr>
        <w:t>, с которыми отсутствуют гражданско-правовой или трудовой договоры, заключить соглашения о конфиденциальности</w:t>
      </w:r>
      <w:r w:rsidR="00E20141" w:rsidRPr="00931D2D">
        <w:t xml:space="preserve"> </w:t>
      </w:r>
      <w:r w:rsidR="00E20141" w:rsidRPr="00931D2D">
        <w:rPr>
          <w:sz w:val="24"/>
          <w:szCs w:val="24"/>
        </w:rPr>
        <w:t>и неразглашении информации</w:t>
      </w:r>
      <w:r w:rsidR="00E20141">
        <w:rPr>
          <w:sz w:val="24"/>
          <w:szCs w:val="24"/>
        </w:rPr>
        <w:t xml:space="preserve">  до их участия в заседаниях органов управления организации</w:t>
      </w:r>
      <w:r w:rsidR="008A48E9">
        <w:rPr>
          <w:sz w:val="24"/>
          <w:szCs w:val="24"/>
        </w:rPr>
        <w:t>,</w:t>
      </w:r>
      <w:r w:rsidR="00E20141">
        <w:rPr>
          <w:sz w:val="24"/>
          <w:szCs w:val="24"/>
        </w:rPr>
        <w:t xml:space="preserve"> на которых может рассматриваться инсайдерская информация.</w:t>
      </w:r>
    </w:p>
    <w:p w:rsidR="00E20141" w:rsidRDefault="00797603" w:rsidP="00E20141">
      <w:pPr>
        <w:widowControl/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20141">
        <w:rPr>
          <w:sz w:val="24"/>
          <w:szCs w:val="24"/>
        </w:rPr>
        <w:t xml:space="preserve">. Предусмотреть порядок </w:t>
      </w:r>
      <w:r w:rsidR="001D2488">
        <w:rPr>
          <w:sz w:val="24"/>
          <w:szCs w:val="24"/>
        </w:rPr>
        <w:t xml:space="preserve">предварительного уведомления </w:t>
      </w:r>
      <w:r w:rsidR="00E20141">
        <w:rPr>
          <w:sz w:val="24"/>
          <w:szCs w:val="24"/>
        </w:rPr>
        <w:t>сотрудник</w:t>
      </w:r>
      <w:r w:rsidR="001D2488">
        <w:rPr>
          <w:sz w:val="24"/>
          <w:szCs w:val="24"/>
        </w:rPr>
        <w:t>ами</w:t>
      </w:r>
      <w:r w:rsidR="00E20141">
        <w:rPr>
          <w:sz w:val="24"/>
          <w:szCs w:val="24"/>
        </w:rPr>
        <w:t xml:space="preserve"> </w:t>
      </w:r>
      <w:r w:rsidR="001D2488">
        <w:rPr>
          <w:sz w:val="24"/>
          <w:szCs w:val="24"/>
        </w:rPr>
        <w:t xml:space="preserve">организации – инсайдера о собственных сделках </w:t>
      </w:r>
      <w:r w:rsidR="00E20141">
        <w:rPr>
          <w:sz w:val="24"/>
          <w:szCs w:val="24"/>
        </w:rPr>
        <w:t>с финансовыми инструментами, включая работу со спискам</w:t>
      </w:r>
      <w:r w:rsidR="001D2488">
        <w:rPr>
          <w:sz w:val="24"/>
          <w:szCs w:val="24"/>
        </w:rPr>
        <w:t>и</w:t>
      </w:r>
      <w:r w:rsidR="00E20141">
        <w:rPr>
          <w:sz w:val="24"/>
          <w:szCs w:val="24"/>
        </w:rPr>
        <w:t xml:space="preserve"> </w:t>
      </w:r>
      <w:r w:rsidR="00E20141" w:rsidRPr="00807851">
        <w:rPr>
          <w:sz w:val="24"/>
          <w:szCs w:val="24"/>
        </w:rPr>
        <w:t>эмитентов (финансовых инструментов), в отношении которых существует информация</w:t>
      </w:r>
      <w:r w:rsidR="001D2488">
        <w:rPr>
          <w:sz w:val="24"/>
          <w:szCs w:val="24"/>
        </w:rPr>
        <w:t>, которая потенциально может стать инсайдерской</w:t>
      </w:r>
      <w:r w:rsidR="00E20141" w:rsidRPr="00807851">
        <w:rPr>
          <w:sz w:val="24"/>
          <w:szCs w:val="24"/>
        </w:rPr>
        <w:t xml:space="preserve"> </w:t>
      </w:r>
      <w:r w:rsidR="00E20141">
        <w:rPr>
          <w:sz w:val="24"/>
          <w:szCs w:val="24"/>
        </w:rPr>
        <w:t>(</w:t>
      </w:r>
      <w:r w:rsidR="009C20F5">
        <w:rPr>
          <w:sz w:val="24"/>
          <w:szCs w:val="24"/>
        </w:rPr>
        <w:t>«Лист наблюдения»)</w:t>
      </w:r>
      <w:r w:rsidR="001D2488">
        <w:rPr>
          <w:sz w:val="24"/>
          <w:szCs w:val="24"/>
        </w:rPr>
        <w:t xml:space="preserve">, а также в </w:t>
      </w:r>
      <w:proofErr w:type="gramStart"/>
      <w:r w:rsidR="001D2488">
        <w:rPr>
          <w:sz w:val="24"/>
          <w:szCs w:val="24"/>
        </w:rPr>
        <w:t>отн</w:t>
      </w:r>
      <w:r w:rsidR="00E20141" w:rsidRPr="00807851">
        <w:rPr>
          <w:sz w:val="24"/>
          <w:szCs w:val="24"/>
        </w:rPr>
        <w:t>ошении</w:t>
      </w:r>
      <w:proofErr w:type="gramEnd"/>
      <w:r w:rsidR="00E20141" w:rsidRPr="00807851">
        <w:rPr>
          <w:sz w:val="24"/>
          <w:szCs w:val="24"/>
        </w:rPr>
        <w:t xml:space="preserve"> которых информация </w:t>
      </w:r>
      <w:r w:rsidR="001D2488">
        <w:rPr>
          <w:sz w:val="24"/>
          <w:szCs w:val="24"/>
        </w:rPr>
        <w:t xml:space="preserve">уже стала инсайдерской </w:t>
      </w:r>
      <w:r w:rsidR="00E20141">
        <w:rPr>
          <w:sz w:val="24"/>
          <w:szCs w:val="24"/>
        </w:rPr>
        <w:t>(</w:t>
      </w:r>
      <w:r w:rsidR="009C20F5">
        <w:rPr>
          <w:sz w:val="24"/>
          <w:szCs w:val="24"/>
        </w:rPr>
        <w:t>«Лист ограничения»</w:t>
      </w:r>
      <w:r w:rsidR="00E20141">
        <w:rPr>
          <w:sz w:val="24"/>
          <w:szCs w:val="24"/>
        </w:rPr>
        <w:t>).</w:t>
      </w:r>
    </w:p>
    <w:p w:rsidR="00AE3072" w:rsidRDefault="00AE3072" w:rsidP="00411526">
      <w:pPr>
        <w:widowControl/>
        <w:spacing w:after="240"/>
        <w:ind w:firstLine="720"/>
        <w:jc w:val="both"/>
        <w:rPr>
          <w:sz w:val="24"/>
          <w:szCs w:val="24"/>
        </w:rPr>
      </w:pPr>
    </w:p>
    <w:sectPr w:rsidR="00AE3072" w:rsidSect="00802AB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91" w:right="1247" w:bottom="1276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6E" w:rsidRDefault="0047796E">
      <w:r>
        <w:separator/>
      </w:r>
    </w:p>
  </w:endnote>
  <w:endnote w:type="continuationSeparator" w:id="0">
    <w:p w:rsidR="0047796E" w:rsidRDefault="0047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6E" w:rsidRDefault="00D47A6E" w:rsidP="002B5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7A6E" w:rsidRDefault="00D47A6E" w:rsidP="002B59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6E" w:rsidRDefault="00D47A6E" w:rsidP="002B5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18C">
      <w:rPr>
        <w:rStyle w:val="a6"/>
        <w:noProof/>
      </w:rPr>
      <w:t>1</w:t>
    </w:r>
    <w:r>
      <w:rPr>
        <w:rStyle w:val="a6"/>
      </w:rPr>
      <w:fldChar w:fldCharType="end"/>
    </w:r>
  </w:p>
  <w:p w:rsidR="00D47A6E" w:rsidRDefault="00D47A6E" w:rsidP="002B595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3F" w:rsidRDefault="00061A3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61A3F" w:rsidRDefault="00061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6E" w:rsidRDefault="0047796E">
      <w:r>
        <w:separator/>
      </w:r>
    </w:p>
  </w:footnote>
  <w:footnote w:type="continuationSeparator" w:id="0">
    <w:p w:rsidR="0047796E" w:rsidRDefault="0047796E">
      <w:r>
        <w:continuationSeparator/>
      </w:r>
    </w:p>
  </w:footnote>
  <w:footnote w:id="1">
    <w:p w:rsidR="00167A43" w:rsidRDefault="00167A43" w:rsidP="00BF4DD2">
      <w:pPr>
        <w:pStyle w:val="af4"/>
        <w:jc w:val="both"/>
      </w:pPr>
      <w:r>
        <w:rPr>
          <w:rStyle w:val="af6"/>
        </w:rPr>
        <w:footnoteRef/>
      </w:r>
      <w:r>
        <w:t xml:space="preserve"> При этом эмитент долж</w:t>
      </w:r>
      <w:r w:rsidR="00184FE6">
        <w:t>е</w:t>
      </w:r>
      <w:r>
        <w:t>н обеспечить публикацию графика подготовки отчетности</w:t>
      </w:r>
      <w:r w:rsidR="00184FE6">
        <w:t xml:space="preserve"> (желательно на своем сайте)</w:t>
      </w:r>
      <w:r>
        <w:t xml:space="preserve"> для того</w:t>
      </w:r>
      <w:r w:rsidR="00D61E56">
        <w:t>,</w:t>
      </w:r>
      <w:r>
        <w:t xml:space="preserve"> чтобы инсайдеры могли определять срок </w:t>
      </w:r>
      <w:r w:rsidR="00D61E56">
        <w:t xml:space="preserve">действия соответствующих </w:t>
      </w:r>
      <w:r>
        <w:t xml:space="preserve">ограничений. </w:t>
      </w:r>
    </w:p>
  </w:footnote>
  <w:footnote w:id="2">
    <w:p w:rsidR="0042246E" w:rsidRPr="0042246E" w:rsidRDefault="0042246E" w:rsidP="0042246E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 xml:space="preserve">По аналогии с европейской </w:t>
      </w:r>
      <w:proofErr w:type="spellStart"/>
      <w:r>
        <w:t>практиким</w:t>
      </w:r>
      <w:proofErr w:type="spellEnd"/>
      <w:r>
        <w:t xml:space="preserve"> термином – «</w:t>
      </w:r>
      <w:r>
        <w:rPr>
          <w:lang w:val="en-US"/>
        </w:rPr>
        <w:t>blackout</w:t>
      </w:r>
      <w:r>
        <w:t xml:space="preserve"> </w:t>
      </w:r>
      <w:r>
        <w:rPr>
          <w:lang w:val="en-US"/>
        </w:rPr>
        <w:t>period</w:t>
      </w:r>
      <w:r>
        <w:t>».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6E" w:rsidRDefault="00D47A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47A6E" w:rsidRDefault="00D47A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2BE" w:rsidRPr="00CB75B4" w:rsidRDefault="00BD52BE" w:rsidP="00BD52BE">
    <w:pPr>
      <w:ind w:left="5670"/>
      <w:rPr>
        <w:b/>
        <w:sz w:val="28"/>
        <w:szCs w:val="24"/>
      </w:rPr>
    </w:pPr>
    <w:r>
      <w:rPr>
        <w:b/>
        <w:sz w:val="28"/>
        <w:szCs w:val="24"/>
      </w:rPr>
      <w:t>НСФР-02/1-2 от 20.01.2014</w:t>
    </w:r>
  </w:p>
  <w:p w:rsidR="00D47A6E" w:rsidRDefault="00D47A6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4F9"/>
    <w:multiLevelType w:val="hybridMultilevel"/>
    <w:tmpl w:val="011045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131A9"/>
    <w:multiLevelType w:val="hybridMultilevel"/>
    <w:tmpl w:val="C6B6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74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0A"/>
    <w:rsid w:val="0000348C"/>
    <w:rsid w:val="00043F0D"/>
    <w:rsid w:val="00051DD2"/>
    <w:rsid w:val="0005324D"/>
    <w:rsid w:val="00061A3F"/>
    <w:rsid w:val="000866B8"/>
    <w:rsid w:val="00097D12"/>
    <w:rsid w:val="000A186D"/>
    <w:rsid w:val="000A2854"/>
    <w:rsid w:val="000B7DC9"/>
    <w:rsid w:val="000C39CD"/>
    <w:rsid w:val="000C659A"/>
    <w:rsid w:val="000C68C7"/>
    <w:rsid w:val="000D5A91"/>
    <w:rsid w:val="000E33EE"/>
    <w:rsid w:val="000F7CCF"/>
    <w:rsid w:val="00102DEA"/>
    <w:rsid w:val="00151289"/>
    <w:rsid w:val="00163BA0"/>
    <w:rsid w:val="00163CF7"/>
    <w:rsid w:val="00163DE2"/>
    <w:rsid w:val="00167A43"/>
    <w:rsid w:val="00170A43"/>
    <w:rsid w:val="00170A78"/>
    <w:rsid w:val="00173848"/>
    <w:rsid w:val="00184FE6"/>
    <w:rsid w:val="001A1D22"/>
    <w:rsid w:val="001B0391"/>
    <w:rsid w:val="001C5924"/>
    <w:rsid w:val="001C67AE"/>
    <w:rsid w:val="001D16B7"/>
    <w:rsid w:val="001D2488"/>
    <w:rsid w:val="001D348D"/>
    <w:rsid w:val="001D3B21"/>
    <w:rsid w:val="001F12F9"/>
    <w:rsid w:val="001F6E9B"/>
    <w:rsid w:val="002201B5"/>
    <w:rsid w:val="00235DCD"/>
    <w:rsid w:val="00247755"/>
    <w:rsid w:val="00257B0A"/>
    <w:rsid w:val="00274F59"/>
    <w:rsid w:val="0027517B"/>
    <w:rsid w:val="00285B4A"/>
    <w:rsid w:val="002A2C5D"/>
    <w:rsid w:val="002A6D59"/>
    <w:rsid w:val="002B438B"/>
    <w:rsid w:val="002B4EE8"/>
    <w:rsid w:val="002B5952"/>
    <w:rsid w:val="002D17AC"/>
    <w:rsid w:val="002D79D5"/>
    <w:rsid w:val="002E2145"/>
    <w:rsid w:val="002E298E"/>
    <w:rsid w:val="002E4C9B"/>
    <w:rsid w:val="002E7B53"/>
    <w:rsid w:val="002E7EB0"/>
    <w:rsid w:val="00312AB4"/>
    <w:rsid w:val="003145F7"/>
    <w:rsid w:val="0032225A"/>
    <w:rsid w:val="003378C0"/>
    <w:rsid w:val="00343B77"/>
    <w:rsid w:val="00346884"/>
    <w:rsid w:val="003564AF"/>
    <w:rsid w:val="00356D24"/>
    <w:rsid w:val="00360C01"/>
    <w:rsid w:val="00385207"/>
    <w:rsid w:val="003B0069"/>
    <w:rsid w:val="003C7906"/>
    <w:rsid w:val="003D1144"/>
    <w:rsid w:val="003D233B"/>
    <w:rsid w:val="003D2F55"/>
    <w:rsid w:val="003E4675"/>
    <w:rsid w:val="003F5F51"/>
    <w:rsid w:val="00411526"/>
    <w:rsid w:val="00411814"/>
    <w:rsid w:val="00411860"/>
    <w:rsid w:val="004168D6"/>
    <w:rsid w:val="00417ABB"/>
    <w:rsid w:val="0042246E"/>
    <w:rsid w:val="0042779E"/>
    <w:rsid w:val="00430D5A"/>
    <w:rsid w:val="004548B0"/>
    <w:rsid w:val="0047390C"/>
    <w:rsid w:val="0047536E"/>
    <w:rsid w:val="00475AE7"/>
    <w:rsid w:val="0047796E"/>
    <w:rsid w:val="0048685F"/>
    <w:rsid w:val="00487297"/>
    <w:rsid w:val="00491625"/>
    <w:rsid w:val="0049631E"/>
    <w:rsid w:val="004968CA"/>
    <w:rsid w:val="004A3833"/>
    <w:rsid w:val="004A77BA"/>
    <w:rsid w:val="004B65D5"/>
    <w:rsid w:val="004B67ED"/>
    <w:rsid w:val="004C7905"/>
    <w:rsid w:val="004D2248"/>
    <w:rsid w:val="004D411F"/>
    <w:rsid w:val="004D5948"/>
    <w:rsid w:val="004F135A"/>
    <w:rsid w:val="004F43D9"/>
    <w:rsid w:val="00500454"/>
    <w:rsid w:val="00503BC4"/>
    <w:rsid w:val="00506162"/>
    <w:rsid w:val="00530F09"/>
    <w:rsid w:val="0056718C"/>
    <w:rsid w:val="00571A04"/>
    <w:rsid w:val="00577C92"/>
    <w:rsid w:val="005801B4"/>
    <w:rsid w:val="00590B57"/>
    <w:rsid w:val="005A06EE"/>
    <w:rsid w:val="005A4DA9"/>
    <w:rsid w:val="005B12F9"/>
    <w:rsid w:val="005B496A"/>
    <w:rsid w:val="005B6ECD"/>
    <w:rsid w:val="005E216C"/>
    <w:rsid w:val="005E73EA"/>
    <w:rsid w:val="00611D1B"/>
    <w:rsid w:val="00611DB3"/>
    <w:rsid w:val="006139A7"/>
    <w:rsid w:val="006227B9"/>
    <w:rsid w:val="00643056"/>
    <w:rsid w:val="00645D87"/>
    <w:rsid w:val="00647628"/>
    <w:rsid w:val="00647980"/>
    <w:rsid w:val="00654207"/>
    <w:rsid w:val="006636A1"/>
    <w:rsid w:val="00666F35"/>
    <w:rsid w:val="00670C2A"/>
    <w:rsid w:val="00673B49"/>
    <w:rsid w:val="00686463"/>
    <w:rsid w:val="006B1E7F"/>
    <w:rsid w:val="006B2C3B"/>
    <w:rsid w:val="006B7D45"/>
    <w:rsid w:val="006C2773"/>
    <w:rsid w:val="006C4233"/>
    <w:rsid w:val="006E3937"/>
    <w:rsid w:val="006E6B33"/>
    <w:rsid w:val="00700266"/>
    <w:rsid w:val="00703BEE"/>
    <w:rsid w:val="007049C1"/>
    <w:rsid w:val="0071015E"/>
    <w:rsid w:val="00713029"/>
    <w:rsid w:val="00722607"/>
    <w:rsid w:val="00734374"/>
    <w:rsid w:val="007410AF"/>
    <w:rsid w:val="00757094"/>
    <w:rsid w:val="0075787C"/>
    <w:rsid w:val="00770E8C"/>
    <w:rsid w:val="00771E24"/>
    <w:rsid w:val="0077261C"/>
    <w:rsid w:val="007820B7"/>
    <w:rsid w:val="00787800"/>
    <w:rsid w:val="00797603"/>
    <w:rsid w:val="007A40B6"/>
    <w:rsid w:val="007E7732"/>
    <w:rsid w:val="007F3047"/>
    <w:rsid w:val="007F6E9B"/>
    <w:rsid w:val="00802AB3"/>
    <w:rsid w:val="00813741"/>
    <w:rsid w:val="00855393"/>
    <w:rsid w:val="0086728D"/>
    <w:rsid w:val="00883072"/>
    <w:rsid w:val="00883E55"/>
    <w:rsid w:val="008865AD"/>
    <w:rsid w:val="008A48E9"/>
    <w:rsid w:val="008D28C0"/>
    <w:rsid w:val="008D2FB8"/>
    <w:rsid w:val="008E7A10"/>
    <w:rsid w:val="008F1BDA"/>
    <w:rsid w:val="008F3326"/>
    <w:rsid w:val="00902EB9"/>
    <w:rsid w:val="0090538F"/>
    <w:rsid w:val="00905AAB"/>
    <w:rsid w:val="00917246"/>
    <w:rsid w:val="009246E3"/>
    <w:rsid w:val="00931D2D"/>
    <w:rsid w:val="00946A2D"/>
    <w:rsid w:val="00953FC1"/>
    <w:rsid w:val="00955C56"/>
    <w:rsid w:val="00957245"/>
    <w:rsid w:val="00985285"/>
    <w:rsid w:val="00993BAC"/>
    <w:rsid w:val="009A2637"/>
    <w:rsid w:val="009A2B2F"/>
    <w:rsid w:val="009B36ED"/>
    <w:rsid w:val="009B6879"/>
    <w:rsid w:val="009C20F5"/>
    <w:rsid w:val="009C3400"/>
    <w:rsid w:val="009E4E84"/>
    <w:rsid w:val="009E728A"/>
    <w:rsid w:val="009F29D2"/>
    <w:rsid w:val="009F3431"/>
    <w:rsid w:val="00A03249"/>
    <w:rsid w:val="00A13E98"/>
    <w:rsid w:val="00A36632"/>
    <w:rsid w:val="00A54743"/>
    <w:rsid w:val="00A8366B"/>
    <w:rsid w:val="00A848B9"/>
    <w:rsid w:val="00AB5CF7"/>
    <w:rsid w:val="00AB6A4F"/>
    <w:rsid w:val="00AC7A46"/>
    <w:rsid w:val="00AE3072"/>
    <w:rsid w:val="00AE3880"/>
    <w:rsid w:val="00AF3E31"/>
    <w:rsid w:val="00B03C12"/>
    <w:rsid w:val="00B11777"/>
    <w:rsid w:val="00B14A4F"/>
    <w:rsid w:val="00B202EE"/>
    <w:rsid w:val="00B25562"/>
    <w:rsid w:val="00B40D85"/>
    <w:rsid w:val="00B50A80"/>
    <w:rsid w:val="00B5339E"/>
    <w:rsid w:val="00B57A04"/>
    <w:rsid w:val="00B630F1"/>
    <w:rsid w:val="00B77233"/>
    <w:rsid w:val="00B86003"/>
    <w:rsid w:val="00B92175"/>
    <w:rsid w:val="00BA12FB"/>
    <w:rsid w:val="00BA70FB"/>
    <w:rsid w:val="00BB0368"/>
    <w:rsid w:val="00BB1E75"/>
    <w:rsid w:val="00BB2110"/>
    <w:rsid w:val="00BD0A95"/>
    <w:rsid w:val="00BD52BE"/>
    <w:rsid w:val="00BE120E"/>
    <w:rsid w:val="00BF4DD2"/>
    <w:rsid w:val="00C11B6B"/>
    <w:rsid w:val="00C13AE8"/>
    <w:rsid w:val="00C14C56"/>
    <w:rsid w:val="00C15D8F"/>
    <w:rsid w:val="00C31D0D"/>
    <w:rsid w:val="00C32650"/>
    <w:rsid w:val="00C3553F"/>
    <w:rsid w:val="00C45116"/>
    <w:rsid w:val="00C56DB6"/>
    <w:rsid w:val="00C57257"/>
    <w:rsid w:val="00C6342D"/>
    <w:rsid w:val="00C85A39"/>
    <w:rsid w:val="00C92CF3"/>
    <w:rsid w:val="00CA268C"/>
    <w:rsid w:val="00CA3A9C"/>
    <w:rsid w:val="00CA51DD"/>
    <w:rsid w:val="00CA761F"/>
    <w:rsid w:val="00CB0206"/>
    <w:rsid w:val="00CE0145"/>
    <w:rsid w:val="00CF65D1"/>
    <w:rsid w:val="00D10064"/>
    <w:rsid w:val="00D13029"/>
    <w:rsid w:val="00D14183"/>
    <w:rsid w:val="00D165BE"/>
    <w:rsid w:val="00D33F20"/>
    <w:rsid w:val="00D412C6"/>
    <w:rsid w:val="00D4366C"/>
    <w:rsid w:val="00D47A6E"/>
    <w:rsid w:val="00D56F3F"/>
    <w:rsid w:val="00D61E56"/>
    <w:rsid w:val="00D642F7"/>
    <w:rsid w:val="00D66912"/>
    <w:rsid w:val="00D74C36"/>
    <w:rsid w:val="00D75547"/>
    <w:rsid w:val="00D8545C"/>
    <w:rsid w:val="00D90196"/>
    <w:rsid w:val="00DA14A3"/>
    <w:rsid w:val="00DC27FA"/>
    <w:rsid w:val="00DD5E9C"/>
    <w:rsid w:val="00DD6C8F"/>
    <w:rsid w:val="00E1091B"/>
    <w:rsid w:val="00E128B4"/>
    <w:rsid w:val="00E20141"/>
    <w:rsid w:val="00E249F5"/>
    <w:rsid w:val="00E258F0"/>
    <w:rsid w:val="00E36F7E"/>
    <w:rsid w:val="00E61185"/>
    <w:rsid w:val="00E733ED"/>
    <w:rsid w:val="00E75B6E"/>
    <w:rsid w:val="00E84274"/>
    <w:rsid w:val="00EA4E52"/>
    <w:rsid w:val="00EA51CB"/>
    <w:rsid w:val="00EB2204"/>
    <w:rsid w:val="00EB44F4"/>
    <w:rsid w:val="00EC28E8"/>
    <w:rsid w:val="00ED5171"/>
    <w:rsid w:val="00EE7A83"/>
    <w:rsid w:val="00EF1756"/>
    <w:rsid w:val="00EF2DEE"/>
    <w:rsid w:val="00EF5190"/>
    <w:rsid w:val="00EF7DB0"/>
    <w:rsid w:val="00F22AF4"/>
    <w:rsid w:val="00F43384"/>
    <w:rsid w:val="00F51BB9"/>
    <w:rsid w:val="00F5304F"/>
    <w:rsid w:val="00F65380"/>
    <w:rsid w:val="00F80BC3"/>
    <w:rsid w:val="00F94667"/>
    <w:rsid w:val="00F979C9"/>
    <w:rsid w:val="00FA278F"/>
    <w:rsid w:val="00FA487B"/>
    <w:rsid w:val="00FB0BC8"/>
    <w:rsid w:val="00FB23C3"/>
    <w:rsid w:val="00FB2D5A"/>
    <w:rsid w:val="00FB64DD"/>
    <w:rsid w:val="00FC1BF8"/>
    <w:rsid w:val="00FC4DAA"/>
    <w:rsid w:val="00FE6F3E"/>
    <w:rsid w:val="00FF0D34"/>
    <w:rsid w:val="00FF43DE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B5CF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7B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257B0A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257B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7B0A"/>
  </w:style>
  <w:style w:type="paragraph" w:styleId="a7">
    <w:name w:val="footer"/>
    <w:basedOn w:val="a"/>
    <w:link w:val="a8"/>
    <w:uiPriority w:val="99"/>
    <w:rsid w:val="00257B0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57B0A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rsid w:val="002E7B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EC28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Normal (Web)"/>
    <w:basedOn w:val="a"/>
    <w:rsid w:val="00B03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BB0368"/>
    <w:rPr>
      <w:sz w:val="16"/>
      <w:szCs w:val="16"/>
    </w:rPr>
  </w:style>
  <w:style w:type="paragraph" w:styleId="ae">
    <w:name w:val="annotation text"/>
    <w:basedOn w:val="a"/>
    <w:semiHidden/>
    <w:rsid w:val="00BB0368"/>
  </w:style>
  <w:style w:type="paragraph" w:styleId="af">
    <w:name w:val="annotation subject"/>
    <w:basedOn w:val="ae"/>
    <w:next w:val="ae"/>
    <w:semiHidden/>
    <w:rsid w:val="00BB0368"/>
    <w:rPr>
      <w:b/>
      <w:bCs/>
    </w:rPr>
  </w:style>
  <w:style w:type="character" w:styleId="af0">
    <w:name w:val="Hyperlink"/>
    <w:rsid w:val="003B0069"/>
    <w:rPr>
      <w:color w:val="0000FF"/>
      <w:u w:val="single"/>
    </w:rPr>
  </w:style>
  <w:style w:type="paragraph" w:styleId="3">
    <w:name w:val="Body Text 3"/>
    <w:basedOn w:val="a"/>
    <w:rsid w:val="00AB5CF7"/>
    <w:pPr>
      <w:spacing w:after="120"/>
    </w:pPr>
    <w:rPr>
      <w:sz w:val="16"/>
      <w:szCs w:val="16"/>
    </w:rPr>
  </w:style>
  <w:style w:type="paragraph" w:styleId="af1">
    <w:name w:val="Body Text"/>
    <w:basedOn w:val="a"/>
    <w:rsid w:val="00AB5CF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38F"/>
  </w:style>
  <w:style w:type="character" w:styleId="af2">
    <w:name w:val="FollowedHyperlink"/>
    <w:rsid w:val="00430D5A"/>
    <w:rPr>
      <w:color w:val="800080"/>
      <w:u w:val="single"/>
    </w:rPr>
  </w:style>
  <w:style w:type="character" w:customStyle="1" w:styleId="a8">
    <w:name w:val="Нижний колонтитул Знак"/>
    <w:link w:val="a7"/>
    <w:uiPriority w:val="99"/>
    <w:rsid w:val="00061A3F"/>
  </w:style>
  <w:style w:type="character" w:customStyle="1" w:styleId="a5">
    <w:name w:val="Верхний колонтитул Знак"/>
    <w:link w:val="a4"/>
    <w:uiPriority w:val="99"/>
    <w:rsid w:val="006227B9"/>
  </w:style>
  <w:style w:type="character" w:customStyle="1" w:styleId="20">
    <w:name w:val="Заголовок 2 Знак"/>
    <w:link w:val="2"/>
    <w:rsid w:val="00E20141"/>
    <w:rPr>
      <w:rFonts w:ascii="Arial" w:hAnsi="Arial" w:cs="Arial"/>
      <w:b/>
      <w:bCs/>
      <w:i/>
      <w:iCs/>
      <w:sz w:val="28"/>
      <w:szCs w:val="28"/>
    </w:rPr>
  </w:style>
  <w:style w:type="paragraph" w:styleId="af3">
    <w:name w:val="Revision"/>
    <w:hidden/>
    <w:uiPriority w:val="99"/>
    <w:semiHidden/>
    <w:rsid w:val="006139A7"/>
  </w:style>
  <w:style w:type="paragraph" w:styleId="af4">
    <w:name w:val="footnote text"/>
    <w:basedOn w:val="a"/>
    <w:link w:val="af5"/>
    <w:rsid w:val="00167A43"/>
  </w:style>
  <w:style w:type="character" w:customStyle="1" w:styleId="af5">
    <w:name w:val="Текст сноски Знак"/>
    <w:basedOn w:val="a0"/>
    <w:link w:val="af4"/>
    <w:rsid w:val="00167A43"/>
  </w:style>
  <w:style w:type="character" w:styleId="af6">
    <w:name w:val="footnote reference"/>
    <w:rsid w:val="00167A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B5CF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7B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257B0A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257B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7B0A"/>
  </w:style>
  <w:style w:type="paragraph" w:styleId="a7">
    <w:name w:val="footer"/>
    <w:basedOn w:val="a"/>
    <w:link w:val="a8"/>
    <w:uiPriority w:val="99"/>
    <w:rsid w:val="00257B0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57B0A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rsid w:val="002E7B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EC28E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Normal (Web)"/>
    <w:basedOn w:val="a"/>
    <w:rsid w:val="00B03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BB0368"/>
    <w:rPr>
      <w:sz w:val="16"/>
      <w:szCs w:val="16"/>
    </w:rPr>
  </w:style>
  <w:style w:type="paragraph" w:styleId="ae">
    <w:name w:val="annotation text"/>
    <w:basedOn w:val="a"/>
    <w:semiHidden/>
    <w:rsid w:val="00BB0368"/>
  </w:style>
  <w:style w:type="paragraph" w:styleId="af">
    <w:name w:val="annotation subject"/>
    <w:basedOn w:val="ae"/>
    <w:next w:val="ae"/>
    <w:semiHidden/>
    <w:rsid w:val="00BB0368"/>
    <w:rPr>
      <w:b/>
      <w:bCs/>
    </w:rPr>
  </w:style>
  <w:style w:type="character" w:styleId="af0">
    <w:name w:val="Hyperlink"/>
    <w:rsid w:val="003B0069"/>
    <w:rPr>
      <w:color w:val="0000FF"/>
      <w:u w:val="single"/>
    </w:rPr>
  </w:style>
  <w:style w:type="paragraph" w:styleId="3">
    <w:name w:val="Body Text 3"/>
    <w:basedOn w:val="a"/>
    <w:rsid w:val="00AB5CF7"/>
    <w:pPr>
      <w:spacing w:after="120"/>
    </w:pPr>
    <w:rPr>
      <w:sz w:val="16"/>
      <w:szCs w:val="16"/>
    </w:rPr>
  </w:style>
  <w:style w:type="paragraph" w:styleId="af1">
    <w:name w:val="Body Text"/>
    <w:basedOn w:val="a"/>
    <w:rsid w:val="00AB5CF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38F"/>
  </w:style>
  <w:style w:type="character" w:styleId="af2">
    <w:name w:val="FollowedHyperlink"/>
    <w:rsid w:val="00430D5A"/>
    <w:rPr>
      <w:color w:val="800080"/>
      <w:u w:val="single"/>
    </w:rPr>
  </w:style>
  <w:style w:type="character" w:customStyle="1" w:styleId="a8">
    <w:name w:val="Нижний колонтитул Знак"/>
    <w:link w:val="a7"/>
    <w:uiPriority w:val="99"/>
    <w:rsid w:val="00061A3F"/>
  </w:style>
  <w:style w:type="character" w:customStyle="1" w:styleId="a5">
    <w:name w:val="Верхний колонтитул Знак"/>
    <w:link w:val="a4"/>
    <w:uiPriority w:val="99"/>
    <w:rsid w:val="006227B9"/>
  </w:style>
  <w:style w:type="character" w:customStyle="1" w:styleId="20">
    <w:name w:val="Заголовок 2 Знак"/>
    <w:link w:val="2"/>
    <w:rsid w:val="00E20141"/>
    <w:rPr>
      <w:rFonts w:ascii="Arial" w:hAnsi="Arial" w:cs="Arial"/>
      <w:b/>
      <w:bCs/>
      <w:i/>
      <w:iCs/>
      <w:sz w:val="28"/>
      <w:szCs w:val="28"/>
    </w:rPr>
  </w:style>
  <w:style w:type="paragraph" w:styleId="af3">
    <w:name w:val="Revision"/>
    <w:hidden/>
    <w:uiPriority w:val="99"/>
    <w:semiHidden/>
    <w:rsid w:val="006139A7"/>
  </w:style>
  <w:style w:type="paragraph" w:styleId="af4">
    <w:name w:val="footnote text"/>
    <w:basedOn w:val="a"/>
    <w:link w:val="af5"/>
    <w:rsid w:val="00167A43"/>
  </w:style>
  <w:style w:type="character" w:customStyle="1" w:styleId="af5">
    <w:name w:val="Текст сноски Знак"/>
    <w:basedOn w:val="a0"/>
    <w:link w:val="af4"/>
    <w:rsid w:val="00167A43"/>
  </w:style>
  <w:style w:type="character" w:styleId="af6">
    <w:name w:val="footnote reference"/>
    <w:rsid w:val="00167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03F7-26CD-45A9-AB45-7911737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Федерального закона «О внесении изменений в статью 6 Федерального закона «О противодействии легализации (отмыванию) доходов, полученных преступным путем и финансированию терроризма» (далее – Законопроект) направлен на корректировку отдельных полож</vt:lpstr>
    </vt:vector>
  </TitlesOfParts>
  <Company>ARB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Федерального закона «О внесении изменений в статью 6 Федерального закона «О противодействии легализации (отмыванию) доходов, полученных преступным путем и финансированию терроризма» (далее – Законопроект) направлен на корректировку отдельных полож</dc:title>
  <dc:creator>Tosunyan</dc:creator>
  <cp:lastModifiedBy>User</cp:lastModifiedBy>
  <cp:revision>5</cp:revision>
  <cp:lastPrinted>2016-04-13T22:17:00Z</cp:lastPrinted>
  <dcterms:created xsi:type="dcterms:W3CDTF">2015-01-20T12:35:00Z</dcterms:created>
  <dcterms:modified xsi:type="dcterms:W3CDTF">2018-12-06T06:35:00Z</dcterms:modified>
</cp:coreProperties>
</file>